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ATAIBECKLEY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001-43037</w:t>
            </w:r>
          </w:p>
        </w:tc>
        <w:tc>
          <w:tcPr>
            <w:tcW w:w="1100" w:type="dxa"/>
            <w:vAlign w:val="bottom"/>
          </w:tcPr>
          <w:p>
            <w:pPr>
              <w:spacing w:after="0"/>
              <w:rPr>
                <w:sz w:val="18"/>
                <w:szCs w:val="18"/>
                <w:color w:val="auto"/>
              </w:rPr>
            </w:pPr>
          </w:p>
        </w:tc>
        <w:tc>
          <w:tcPr>
            <w:tcW w:w="30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41-3357923</w:t>
            </w:r>
          </w:p>
        </w:tc>
      </w:tr>
      <w:tr>
        <w:trPr>
          <w:trHeight w:val="238"/>
        </w:trPr>
        <w:tc>
          <w:tcPr>
            <w:tcW w:w="4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88"/>
        </w:trPr>
        <w:tc>
          <w:tcPr>
            <w:tcW w:w="45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80" w:type="dxa"/>
            <w:vAlign w:val="bottom"/>
          </w:tcPr>
          <w:p>
            <w:pPr>
              <w:spacing w:after="0"/>
              <w:rPr>
                <w:sz w:val="7"/>
                <w:szCs w:val="7"/>
                <w:color w:val="auto"/>
              </w:rPr>
            </w:pP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atai Life Sciences US, Inc.</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 Industrious NYC</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250 West 34th Street</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282-0507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0"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 w:right="2700" w:hanging="12"/>
        <w:spacing w:after="0" w:line="498"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60" w:type="dxa"/>
            <w:vAlign w:val="bottom"/>
          </w:tcPr>
          <w:p>
            <w:pPr>
              <w:spacing w:after="0"/>
              <w:rPr>
                <w:sz w:val="16"/>
                <w:szCs w:val="16"/>
                <w:color w:val="auto"/>
              </w:rPr>
            </w:pPr>
          </w:p>
        </w:tc>
        <w:tc>
          <w:tcPr>
            <w:tcW w:w="3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3"/>
              </w:rPr>
              <w:t>ATAI</w:t>
            </w:r>
          </w:p>
        </w:tc>
        <w:tc>
          <w:tcPr>
            <w:tcW w:w="40" w:type="dxa"/>
            <w:vAlign w:val="bottom"/>
          </w:tcPr>
          <w:p>
            <w:pPr>
              <w:spacing w:after="0"/>
              <w:rPr>
                <w:sz w:val="16"/>
                <w:szCs w:val="16"/>
                <w:color w:val="auto"/>
              </w:rPr>
            </w:pPr>
          </w:p>
        </w:tc>
        <w:tc>
          <w:tcPr>
            <w:tcW w:w="3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previously announced, AtaiBeckley (the “Company”) will participate in multiple upcoming investor conferences in June 2026, as set forth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will discuss program updates, including the initiation of the BPL-003 Phase 3 pivotal ReConnection program, and other matters.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Jefferies Global Healthcare Conference</w:t>
      </w:r>
    </w:p>
    <w:p>
      <w:pPr>
        <w:spacing w:after="0" w:line="31" w:lineRule="exact"/>
        <w:rPr>
          <w:sz w:val="20"/>
          <w:szCs w:val="20"/>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June 2 – 4, 2026</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New York, NY</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Fireside chat and one-on-one meetings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date and time: Wednesday, June 3, 12:15 PM ET</w:t>
      </w:r>
    </w:p>
    <w:p>
      <w:pPr>
        <w:spacing w:after="0" w:line="9" w:lineRule="exact"/>
        <w:rPr>
          <w:rFonts w:ascii="Times New Roman" w:cs="Times New Roman" w:eastAsia="Times New Roman" w:hAnsi="Times New Roman"/>
          <w:sz w:val="18"/>
          <w:szCs w:val="18"/>
          <w:color w:val="auto"/>
        </w:rPr>
      </w:pPr>
    </w:p>
    <w:p>
      <w:pPr>
        <w:ind w:left="1080" w:right="2880" w:hanging="316"/>
        <w:spacing w:after="0" w:line="290"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Live Webcast link: https://event.summitcast.com/view/NgCqua4VVQjq9ibVWHVWca/guest_book? session_id=fpBDEvLFcurTNSUMHyQshL</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Oppenheimer CNS and Neuro-Muscular Summit</w:t>
      </w:r>
    </w:p>
    <w:p>
      <w:pPr>
        <w:spacing w:after="0" w:line="31" w:lineRule="exact"/>
        <w:rPr>
          <w:sz w:val="20"/>
          <w:szCs w:val="20"/>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June 10, 2026</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Miami, FL</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Fireside chat and one-on-one meetings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date and time: Wednesday, June 10, 1:35 PM ET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7th Annual HCW Neuro Perspectives Hybrid Conference</w:t>
      </w:r>
    </w:p>
    <w:p>
      <w:pPr>
        <w:spacing w:after="0" w:line="31" w:lineRule="exact"/>
        <w:rPr>
          <w:sz w:val="20"/>
          <w:szCs w:val="20"/>
          <w:color w:val="auto"/>
        </w:rPr>
      </w:pPr>
    </w:p>
    <w:p>
      <w:pPr>
        <w:ind w:left="1080" w:hanging="31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June 15 – 16, 2026</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Virtual</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Virtual company presentation and one-on-one meetings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date and time: Monday, June 15, 7:00 AM ET</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link: https://journey.ct.events/view/317a324f-bca6-4042-87a0-6c554abf6686</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UBS Virtual CNS Day</w:t>
      </w:r>
    </w:p>
    <w:p>
      <w:pPr>
        <w:spacing w:after="0" w:line="31" w:lineRule="exact"/>
        <w:rPr>
          <w:sz w:val="20"/>
          <w:szCs w:val="20"/>
          <w:color w:val="auto"/>
        </w:rPr>
      </w:pPr>
    </w:p>
    <w:p>
      <w:pPr>
        <w:ind w:left="1080" w:hanging="316"/>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June 15, 2026</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Virtual</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Fireside chat and one-to-one meetings</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date and time: Monday, June 15, 4:30 PM ET</w:t>
      </w:r>
    </w:p>
    <w:p>
      <w:pPr>
        <w:spacing w:after="0" w:line="207"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The webcasts, where applicable, can be accessed on the Investors section of the Company’s website at https://ir.ataibeckley.com/investor-relations under Events. The information furnished under this Item 7.01 shall not be deemed “filed” for purposes of Section 18 of the Securities Exchange Act of 1934, or the Exchange Act,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and Section 21E of the Securities Exchange Act of 1934, as amended. The words “believe,” “may,” “will,” “estimate,” “continue,” “anticipate,” “intend,” “expect,” “initiate,” “could,” “would,” “project,” “plan,” “potentially,” “preliminary,” “likely,” and similar expressions are intended to identify forward-looking statements, although not all forward-looking statements contain these words. Forward-looking statements include express or implied statements relating to our planned presentations at investor conferences, including updates related to the timing of development of our product candidates, including the progress of preclinical and clinical trials and related milestones.</w:t>
      </w:r>
    </w:p>
    <w:p>
      <w:pPr>
        <w:spacing w:after="0" w:line="18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Forward-looking statements are neither promises nor guarantees, but involve known and unknown risks and uncertainties that could cause actual results to differ materially from those projected, including, without limitation, the important factors described in the section titled “Risk Factors” in our most recent Annual Report on Form 10-K filed with the Securities and Exchange Commission (“SEC”) or Quarterly Reports on Form 10-Q filed with the SEC, as such factors may be updated from time to time in our other filings with the SEC. Any forward-looking statements made herein speak only as of the date of this press release,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We disclaim any obligation to update or revise any forward-looking statements contained in this press release, other than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ATAIBECKLEY INC.</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Srinivas Rao</w:t>
            </w:r>
          </w:p>
        </w:tc>
      </w:tr>
      <w:tr>
        <w:trPr>
          <w:trHeight w:val="198"/>
        </w:trPr>
        <w:tc>
          <w:tcPr>
            <w:tcW w:w="3560" w:type="dxa"/>
            <w:vAlign w:val="bottom"/>
          </w:tcPr>
          <w:p>
            <w:pPr>
              <w:spacing w:after="0"/>
              <w:rPr>
                <w:sz w:val="17"/>
                <w:szCs w:val="17"/>
                <w:color w:val="auto"/>
              </w:rPr>
            </w:pPr>
          </w:p>
        </w:tc>
        <w:tc>
          <w:tcPr>
            <w:tcW w:w="2640" w:type="dxa"/>
            <w:vAlign w:val="bottom"/>
          </w:tcPr>
          <w:p>
            <w:pPr>
              <w:ind w:left="2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Srinivas Rao</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2026-06-03T06:55:21Z</dcterms:created>
  <dcterms:modified xsi:type="dcterms:W3CDTF">2026-06-03T06:55:21Z</dcterms:modified>
</cp:coreProperties>
</file>