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516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516120"/>
                    </a:xfrm>
                    <a:prstGeom prst="rect">
                      <a:avLst/>
                    </a:prstGeom>
                    <a:noFill/>
                  </pic:spPr>
                </pic:pic>
              </a:graphicData>
            </a:graphic>
          </wp:anchor>
        </w:drawing>
      </w:r>
    </w:p>
    <w:p>
      <w:pPr>
        <w:spacing w:after="0" w:line="1160"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340" w:type="dxa"/>
            <w:vAlign w:val="bottom"/>
            <w:gridSpan w:val="2"/>
            <w:vMerge w:val="restart"/>
          </w:tcPr>
          <w:p>
            <w:pPr>
              <w:spacing w:after="0"/>
              <w:rPr>
                <w:rFonts w:ascii="Times New Roman" w:cs="Times New Roman" w:eastAsia="Times New Roman" w:hAnsi="Times New Roman"/>
                <w:sz w:val="20"/>
                <w:szCs w:val="20"/>
                <w:color w:val="0000EE"/>
                <w:w w:val="99"/>
              </w:rPr>
            </w:pPr>
            <w:hyperlink r:id="rId13">
              <w:r>
                <w:rPr>
                  <w:rFonts w:ascii="Times New Roman" w:cs="Times New Roman" w:eastAsia="Times New Roman" w:hAnsi="Times New Roman"/>
                  <w:sz w:val="20"/>
                  <w:szCs w:val="20"/>
                  <w:color w:val="0000EE"/>
                  <w:w w:val="99"/>
                </w:rPr>
                <w:t>Braunstein Scott</w:t>
              </w:r>
            </w:hyperlink>
          </w:p>
        </w:tc>
        <w:tc>
          <w:tcPr>
            <w:tcW w:w="10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AtaiBeckley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ATAI</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10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380" w:type="dxa"/>
            <w:vAlign w:val="bottom"/>
            <w:tcBorders>
              <w:bottom w:val="single" w:sz="8" w:color="0000EE"/>
            </w:tcBorders>
          </w:tcPr>
          <w:p>
            <w:pPr>
              <w:spacing w:after="0"/>
              <w:rPr>
                <w:sz w:val="6"/>
                <w:szCs w:val="6"/>
                <w:color w:val="auto"/>
              </w:rPr>
            </w:pPr>
          </w:p>
        </w:tc>
        <w:tc>
          <w:tcPr>
            <w:tcW w:w="240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340" w:type="dxa"/>
            <w:vAlign w:val="bottom"/>
            <w:tcBorders>
              <w:bottom w:val="single" w:sz="8" w:color="0000EE"/>
            </w:tcBorders>
            <w:gridSpan w:val="2"/>
            <w:vMerge w:val="continue"/>
          </w:tcPr>
          <w:p>
            <w:pPr>
              <w:spacing w:after="0"/>
              <w:rPr>
                <w:sz w:val="5"/>
                <w:szCs w:val="5"/>
                <w:color w:val="auto"/>
              </w:rPr>
            </w:pPr>
          </w:p>
        </w:tc>
        <w:tc>
          <w:tcPr>
            <w:tcW w:w="108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340" w:type="dxa"/>
            <w:vAlign w:val="bottom"/>
            <w:gridSpan w:val="2"/>
          </w:tcPr>
          <w:p>
            <w:pPr>
              <w:spacing w:after="0"/>
              <w:rPr>
                <w:sz w:val="6"/>
                <w:szCs w:val="6"/>
                <w:color w:val="auto"/>
              </w:rPr>
            </w:pPr>
          </w:p>
        </w:tc>
        <w:tc>
          <w:tcPr>
            <w:tcW w:w="108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5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06/04/2026</w:t>
            </w:r>
          </w:p>
        </w:tc>
        <w:tc>
          <w:tcPr>
            <w:tcW w:w="24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ATAI LIFE SCIENCES US, INC.</w:t>
            </w:r>
          </w:p>
        </w:tc>
        <w:tc>
          <w:tcPr>
            <w:tcW w:w="1520" w:type="dxa"/>
            <w:vAlign w:val="bottom"/>
            <w:gridSpan w:val="3"/>
            <w:vMerge w:val="continue"/>
          </w:tcPr>
          <w:p>
            <w:pPr>
              <w:spacing w:after="0"/>
              <w:rPr>
                <w:sz w:val="10"/>
                <w:szCs w:val="10"/>
                <w:color w:val="auto"/>
              </w:rPr>
            </w:pPr>
          </w:p>
        </w:tc>
        <w:tc>
          <w:tcPr>
            <w:tcW w:w="24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INDUSTRIOUS NYC, 250 WEST 34TH ST</w:t>
            </w: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tcPr>
          <w:p>
            <w:pPr>
              <w:spacing w:after="0"/>
              <w:rPr>
                <w:sz w:val="11"/>
                <w:szCs w:val="11"/>
                <w:color w:val="auto"/>
              </w:rPr>
            </w:pPr>
          </w:p>
        </w:tc>
        <w:tc>
          <w:tcPr>
            <w:tcW w:w="240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10119</w:t>
            </w:r>
          </w:p>
        </w:tc>
      </w:tr>
      <w:tr>
        <w:trPr>
          <w:trHeight w:val="146"/>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3"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4.5</w:t>
            </w:r>
          </w:p>
        </w:tc>
        <w:tc>
          <w:tcPr>
            <w:tcW w:w="106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06/04/2026</w:t>
            </w:r>
          </w:p>
        </w:tc>
        <w:tc>
          <w:tcPr>
            <w:tcW w:w="1080" w:type="dxa"/>
            <w:vAlign w:val="bottom"/>
          </w:tcPr>
          <w:p>
            <w:pPr>
              <w:spacing w:after="0"/>
              <w:rPr>
                <w:sz w:val="21"/>
                <w:szCs w:val="21"/>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jc w:val="right"/>
              <w:ind w:right="81"/>
              <w:spacing w:after="0"/>
              <w:rPr>
                <w:sz w:val="20"/>
                <w:szCs w:val="20"/>
                <w:color w:val="auto"/>
              </w:rPr>
            </w:pPr>
            <w:r>
              <w:rPr>
                <w:rFonts w:ascii="Times New Roman" w:cs="Times New Roman" w:eastAsia="Times New Roman" w:hAnsi="Times New Roman"/>
                <w:sz w:val="13"/>
                <w:szCs w:val="13"/>
                <w:color w:val="0000FF"/>
              </w:rPr>
              <w:t>121,968</w:t>
            </w:r>
          </w:p>
        </w:tc>
        <w:tc>
          <w:tcPr>
            <w:tcW w:w="220" w:type="dxa"/>
            <w:vAlign w:val="bottom"/>
          </w:tcPr>
          <w:p>
            <w:pPr>
              <w:spacing w:after="0"/>
              <w:rPr>
                <w:sz w:val="21"/>
                <w:szCs w:val="21"/>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06/04/2036</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0000FF"/>
                <w:w w:val="94"/>
              </w:rPr>
              <w:t>121,968</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jc w:val="right"/>
              <w:ind w:right="202"/>
              <w:spacing w:after="0"/>
              <w:rPr>
                <w:sz w:val="20"/>
                <w:szCs w:val="20"/>
                <w:color w:val="auto"/>
              </w:rPr>
            </w:pPr>
            <w:r>
              <w:rPr>
                <w:rFonts w:ascii="Times New Roman" w:cs="Times New Roman" w:eastAsia="Times New Roman" w:hAnsi="Times New Roman"/>
                <w:sz w:val="13"/>
                <w:szCs w:val="13"/>
                <w:color w:val="0000FF"/>
              </w:rPr>
              <w:t>121,968</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680" w:type="dxa"/>
            <w:vAlign w:val="bottom"/>
            <w:tcBorders>
              <w:bottom w:val="single" w:sz="8" w:color="2C2C2C"/>
            </w:tcBorders>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ind w:left="18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4.5</w:t>
            </w:r>
          </w:p>
        </w:tc>
        <w:tc>
          <w:tcPr>
            <w:tcW w:w="106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06/04/2026</w:t>
            </w:r>
          </w:p>
        </w:tc>
        <w:tc>
          <w:tcPr>
            <w:tcW w:w="1080" w:type="dxa"/>
            <w:vAlign w:val="bottom"/>
          </w:tcPr>
          <w:p>
            <w:pPr>
              <w:spacing w:after="0"/>
              <w:rPr>
                <w:sz w:val="15"/>
                <w:szCs w:val="15"/>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vMerge w:val="restart"/>
          </w:tcPr>
          <w:p>
            <w:pPr>
              <w:jc w:val="right"/>
              <w:ind w:right="101"/>
              <w:spacing w:after="0"/>
              <w:rPr>
                <w:sz w:val="20"/>
                <w:szCs w:val="20"/>
                <w:color w:val="auto"/>
              </w:rPr>
            </w:pPr>
            <w:r>
              <w:rPr>
                <w:rFonts w:ascii="Times New Roman" w:cs="Times New Roman" w:eastAsia="Times New Roman" w:hAnsi="Times New Roman"/>
                <w:sz w:val="13"/>
                <w:szCs w:val="13"/>
                <w:color w:val="0000FF"/>
              </w:rPr>
              <w:t>86,095</w:t>
            </w:r>
          </w:p>
        </w:tc>
        <w:tc>
          <w:tcPr>
            <w:tcW w:w="22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06/04/2036</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right"/>
              <w:ind w:right="54"/>
              <w:spacing w:after="0"/>
              <w:rPr>
                <w:sz w:val="20"/>
                <w:szCs w:val="20"/>
                <w:color w:val="auto"/>
              </w:rPr>
            </w:pPr>
            <w:r>
              <w:rPr>
                <w:rFonts w:ascii="Times New Roman" w:cs="Times New Roman" w:eastAsia="Times New Roman" w:hAnsi="Times New Roman"/>
                <w:sz w:val="17"/>
                <w:szCs w:val="17"/>
                <w:color w:val="0000FF"/>
              </w:rPr>
              <w:t>86,095</w:t>
            </w:r>
          </w:p>
        </w:tc>
        <w:tc>
          <w:tcPr>
            <w:tcW w:w="68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jc w:val="right"/>
              <w:ind w:right="222"/>
              <w:spacing w:after="0"/>
              <w:rPr>
                <w:sz w:val="20"/>
                <w:szCs w:val="20"/>
                <w:color w:val="auto"/>
              </w:rPr>
            </w:pPr>
            <w:r>
              <w:rPr>
                <w:rFonts w:ascii="Times New Roman" w:cs="Times New Roman" w:eastAsia="Times New Roman" w:hAnsi="Times New Roman"/>
                <w:sz w:val="13"/>
                <w:szCs w:val="13"/>
                <w:color w:val="0000FF"/>
              </w:rPr>
              <w:t>86,095</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6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40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shall vest on the earlier of the day before AtaiBeckley Inc.'s next annual meeting or June 4, 2027, subject to continued service on AtaiBeckley Inc.'s board of directors through the applicable vesting date.</w:t>
      </w:r>
    </w:p>
    <w:p>
      <w:pPr>
        <w:spacing w:after="0" w:line="2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Ryan Barrett, as attorney in</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06/08/2026</w:t>
            </w:r>
          </w:p>
        </w:tc>
        <w:tc>
          <w:tcPr>
            <w:tcW w:w="0" w:type="dxa"/>
            <w:vAlign w:val="bottom"/>
          </w:tcPr>
          <w:p>
            <w:pPr>
              <w:spacing w:after="0"/>
              <w:rPr>
                <w:sz w:val="1"/>
                <w:szCs w:val="1"/>
                <w:color w:val="auto"/>
              </w:rPr>
            </w:pPr>
          </w:p>
        </w:tc>
      </w:tr>
      <w:tr>
        <w:trPr>
          <w:trHeight w:val="87"/>
        </w:trPr>
        <w:tc>
          <w:tcPr>
            <w:tcW w:w="240" w:type="dxa"/>
            <w:vAlign w:val="bottom"/>
            <w:tcBorders>
              <w:top w:val="single" w:sz="8" w:color="auto"/>
              <w:bottom w:val="single" w:sz="8" w:color="auto"/>
            </w:tcBorders>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6"/>
              </w:rPr>
              <w:t>fact</w:t>
            </w:r>
          </w:p>
        </w:tc>
        <w:tc>
          <w:tcPr>
            <w:tcW w:w="176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40" w:type="dxa"/>
            <w:vAlign w:val="bottom"/>
            <w:tcBorders>
              <w:bottom w:val="single" w:sz="8" w:color="auto"/>
            </w:tcBorders>
            <w:vMerge w:val="continue"/>
          </w:tcPr>
          <w:p>
            <w:pPr>
              <w:spacing w:after="0"/>
              <w:rPr>
                <w:sz w:val="7"/>
                <w:szCs w:val="7"/>
                <w:color w:val="auto"/>
              </w:rPr>
            </w:pPr>
          </w:p>
        </w:tc>
        <w:tc>
          <w:tcPr>
            <w:tcW w:w="176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43875" TargetMode="External"/><Relationship Id="rId14" Type="http://schemas.openxmlformats.org/officeDocument/2006/relationships/hyperlink" Target="http://www.sec.gov/cgi-bin/browse-edgar?action=getcompany&amp;CIK=000208104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2026-06-08T19:02:56Z</dcterms:created>
  <dcterms:modified xsi:type="dcterms:W3CDTF">2026-06-08T19:02:56Z</dcterms:modified>
</cp:coreProperties>
</file>